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45" w:rsidRDefault="00CD57B2" w:rsidP="00D96E30">
      <w:pPr>
        <w:widowControl/>
        <w:spacing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2019</w:t>
      </w:r>
      <w:r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  <w:t>年</w:t>
      </w:r>
      <w:r w:rsidR="00943521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秋</w:t>
      </w:r>
      <w:r w:rsidR="00755D45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季</w:t>
      </w:r>
      <w:r w:rsidR="00D96E30"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  <w:t>土木工程学院在籍本科</w:t>
      </w:r>
      <w:r w:rsidR="003B54C3" w:rsidRPr="00D96E30"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  <w:t>生</w:t>
      </w:r>
    </w:p>
    <w:p w:rsidR="00D96E30" w:rsidRPr="00D96E30" w:rsidRDefault="003B54C3" w:rsidP="00D96E30">
      <w:pPr>
        <w:widowControl/>
        <w:spacing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D96E30"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  <w:t>转专业实施方案</w:t>
      </w:r>
    </w:p>
    <w:p w:rsidR="003B54C3" w:rsidRDefault="00943521" w:rsidP="00943521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9435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教育部《普通高等学校学生管理规定》（第41号令）、《中南林业科技大学学生普通本专科学生学籍管理细则》（中南林发〔2017〕106号）、《中南林业科技大学学生普通本专科生转学、转专业实施细则》（中南林发〔2017〕143号）的相关规定，</w:t>
      </w:r>
      <w:r w:rsidRPr="00943521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</w:t>
      </w:r>
      <w:r w:rsidR="003B54C3" w:rsidRPr="00D96E3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结合学院实际，特制定</w:t>
      </w:r>
      <w:r w:rsidR="00DD1E0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DD1E0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01</w:t>
      </w:r>
      <w:r w:rsidR="00D37EEF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9</w:t>
      </w:r>
      <w:r w:rsidR="00DD1E0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秋</w:t>
      </w:r>
      <w:r w:rsidR="00755D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季</w:t>
      </w:r>
      <w:r w:rsidR="00DD1E0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学院转专业</w:t>
      </w:r>
      <w:r w:rsidR="003B54C3" w:rsidRPr="00D96E3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实施方案。</w:t>
      </w:r>
    </w:p>
    <w:p w:rsidR="00D96E30" w:rsidRPr="005064F7" w:rsidRDefault="00D96E30" w:rsidP="007C04B1">
      <w:pPr>
        <w:pStyle w:val="a5"/>
        <w:numPr>
          <w:ilvl w:val="0"/>
          <w:numId w:val="1"/>
        </w:numPr>
        <w:spacing w:beforeLines="50"/>
        <w:ind w:firstLineChars="0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 w:rsidRPr="005064F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允许申请转专业学生的基本条件</w:t>
      </w:r>
    </w:p>
    <w:p w:rsidR="00F41F18" w:rsidRDefault="00F41F18" w:rsidP="00816916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允许申请转专业学生必须满足</w:t>
      </w:r>
      <w:r w:rsidR="008169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下列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条件</w:t>
      </w:r>
      <w:r w:rsidR="008169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之一：</w:t>
      </w:r>
    </w:p>
    <w:p w:rsidR="00813EBD" w:rsidRPr="00813EBD" w:rsidRDefault="00294505" w:rsidP="0029450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（1）</w:t>
      </w:r>
      <w:r w:rsidR="00813EBD" w:rsidRPr="00813E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文化课程总平均成绩属于本专业排名前10%的，可以根据有关规定，自主选择专业。</w:t>
      </w:r>
    </w:p>
    <w:p w:rsidR="00294505" w:rsidRPr="00294505" w:rsidRDefault="00294505" w:rsidP="00813EBD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（2）</w:t>
      </w:r>
      <w:r w:rsidRPr="0029450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经学校认可，学生确有某种兴趣和专长，转专业更能促进其学习者；</w:t>
      </w:r>
    </w:p>
    <w:p w:rsidR="00813EBD" w:rsidRPr="00813EBD" w:rsidRDefault="00294505" w:rsidP="0029450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（3）</w:t>
      </w:r>
      <w:r w:rsidRPr="0029450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学生</w:t>
      </w:r>
      <w:r w:rsidR="00813EBD" w:rsidRPr="00813E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不包括不符合招生体检条件的新生和休学期间的学生）入学后发现某种病症或生理缺陷，经学校指定的二级甲等以上医院诊断，学校医院复查，证明不能在原专业学习，但尚能在本校其它专业学习者；</w:t>
      </w:r>
    </w:p>
    <w:p w:rsidR="00294505" w:rsidRPr="00294505" w:rsidRDefault="00294505" w:rsidP="00813EBD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（4）</w:t>
      </w:r>
      <w:r w:rsidRPr="0029450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经学校认可，学生确有某种特殊困难或非本人原因，不转专业则无法继续学习者；</w:t>
      </w:r>
    </w:p>
    <w:p w:rsidR="00F41F18" w:rsidRDefault="00294505" w:rsidP="0029450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（5）</w:t>
      </w:r>
      <w:r w:rsidRPr="0029450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根据社会对人才需求情</w:t>
      </w:r>
      <w:r w:rsidR="00FE3F2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况的发展变化，经学生同意，必要时学校可以适当调整部分学生的专业</w:t>
      </w:r>
      <w:bookmarkStart w:id="0" w:name="_GoBack"/>
      <w:bookmarkEnd w:id="0"/>
      <w:r w:rsidR="00F41F18" w:rsidRPr="00F41F1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F41F18" w:rsidRPr="00816916" w:rsidRDefault="00816916" w:rsidP="007C04B1">
      <w:pPr>
        <w:spacing w:beforeLines="50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 w:rsidRPr="00816916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二、不允许申请转专业的条件</w:t>
      </w:r>
    </w:p>
    <w:p w:rsidR="00816916" w:rsidRDefault="00816916" w:rsidP="00F41F18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满足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下列条件之一者不允许申请转专业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CD57B2" w:rsidRPr="00DE7732" w:rsidRDefault="00DE7732" w:rsidP="00DE7732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（1）</w:t>
      </w:r>
      <w:r w:rsidR="00294505" w:rsidRPr="00DE773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本科201</w:t>
      </w:r>
      <w:r w:rsidR="0025231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</w:t>
      </w:r>
      <w:r w:rsidR="00294505" w:rsidRPr="00DE773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级以上（含201</w:t>
      </w:r>
      <w:r w:rsidR="0025231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</w:t>
      </w:r>
      <w:r w:rsidR="00294505" w:rsidRPr="00DE773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级）者；</w:t>
      </w:r>
    </w:p>
    <w:p w:rsidR="00294505" w:rsidRPr="00294505" w:rsidRDefault="00294505" w:rsidP="0029450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CD57B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Pr="0029450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生源属于定向、委托或联合培养者；</w:t>
      </w:r>
    </w:p>
    <w:p w:rsidR="00294505" w:rsidRPr="00294505" w:rsidRDefault="00294505" w:rsidP="0029450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CD57B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Pr="0029450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受警告及以上处分者； </w:t>
      </w:r>
    </w:p>
    <w:p w:rsidR="00294505" w:rsidRPr="00294505" w:rsidRDefault="00294505" w:rsidP="0029450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（4）</w:t>
      </w:r>
      <w:r w:rsidRPr="0029450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已有过一次转专业记录者；</w:t>
      </w:r>
    </w:p>
    <w:p w:rsidR="00F41F18" w:rsidRDefault="00294505" w:rsidP="0029450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（5）</w:t>
      </w:r>
      <w:r w:rsidR="00D73F8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上级主管部门相关文件规定不予转专业的</w:t>
      </w:r>
      <w:r w:rsidR="00F41F1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</w:t>
      </w:r>
    </w:p>
    <w:p w:rsidR="00F41F18" w:rsidRPr="00F41F18" w:rsidRDefault="00F41F18" w:rsidP="00F41F18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（6）</w:t>
      </w:r>
      <w:r w:rsidRPr="00F41F1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单独考试、单独录取的特殊招生类专业学生不能转入其他专业，音乐类、美术类、体育类等专业的学生不能转入其他类专业，其他专业的学生也不能选择这些专业。</w:t>
      </w:r>
    </w:p>
    <w:p w:rsidR="003B54C3" w:rsidRPr="005064F7" w:rsidRDefault="00816916" w:rsidP="007C04B1">
      <w:pPr>
        <w:spacing w:beforeLines="50" w:afterLines="50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三</w:t>
      </w:r>
      <w:r w:rsidR="00F41F18" w:rsidRPr="005064F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、</w:t>
      </w:r>
      <w:r w:rsidR="005064F7" w:rsidRPr="005064F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允许转入学院各专业学生的具体条件</w:t>
      </w:r>
    </w:p>
    <w:p w:rsidR="005064F7" w:rsidRDefault="00BD23A8" w:rsidP="003B0B07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从其他学院</w:t>
      </w:r>
      <w:r w:rsidR="005064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转入土木工程学院各专业（土木工程、工程力学、测绘工程、工程管理、城市地下空间工程）的学生</w:t>
      </w:r>
      <w:r w:rsidRPr="00ED29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以及学院内各专业之间互转专业的学生</w:t>
      </w:r>
      <w:r w:rsidR="005064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除满足转专业</w:t>
      </w:r>
      <w:r w:rsidR="004333F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学生</w:t>
      </w:r>
      <w:r w:rsidR="005064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的基本条件外，还必须同时满足下列条件：</w:t>
      </w:r>
    </w:p>
    <w:p w:rsidR="005064F7" w:rsidRPr="003B0B07" w:rsidRDefault="003B0B07" w:rsidP="003B0B07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（1）</w:t>
      </w:r>
      <w:r w:rsidRPr="003B0B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转入学生当年高考参加的必须是理工科考试（浙江省考生必须参加了物理或化学或技术类课程的考试）且目前在学校理工科专业就读；</w:t>
      </w:r>
    </w:p>
    <w:p w:rsidR="003B0B07" w:rsidRDefault="003B0B07" w:rsidP="00862B8B">
      <w:pPr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（2）</w:t>
      </w:r>
      <w:r w:rsidR="00EC5A6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转入学生必须</w:t>
      </w:r>
      <w:r w:rsidR="00862B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修读转入专业人才培养方案中核心基础</w:t>
      </w:r>
      <w:r w:rsidR="0081691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课程且考试合格。转入时已修读的相关核心基础课程可以采用课程替代</w:t>
      </w:r>
      <w:r w:rsidR="00862B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方式并经学院认可；转入时未修读的</w:t>
      </w:r>
      <w:r w:rsidR="00862B8B" w:rsidRPr="00862B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相关核心</w:t>
      </w:r>
      <w:r w:rsidR="00862B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基础</w:t>
      </w:r>
      <w:r w:rsidR="00862B8B" w:rsidRPr="00862B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课程</w:t>
      </w:r>
      <w:r w:rsidR="00862B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必须补修并考试合格。各专业必须修读的核心基础课程如下：</w:t>
      </w:r>
    </w:p>
    <w:p w:rsidR="00862B8B" w:rsidRDefault="002462FC" w:rsidP="00862B8B">
      <w:pPr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lastRenderedPageBreak/>
        <w:fldChar w:fldCharType="begin"/>
      </w:r>
      <w:r w:rsidR="00862B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instrText>= 1 \* GB3</w:instrTex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separate"/>
      </w:r>
      <w:r w:rsidR="00862B8B">
        <w:rPr>
          <w:rFonts w:ascii="仿宋_GB2312" w:eastAsia="仿宋_GB2312" w:hAnsi="微软雅黑" w:cs="宋体" w:hint="eastAsia"/>
          <w:noProof/>
          <w:color w:val="000000"/>
          <w:kern w:val="0"/>
          <w:sz w:val="32"/>
          <w:szCs w:val="32"/>
        </w:rPr>
        <w:t>①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end"/>
      </w:r>
      <w:r w:rsidR="00862B8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土木工程</w:t>
      </w:r>
      <w:r w:rsidR="004D0FCC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专业</w:t>
      </w:r>
      <w:r w:rsidR="00862B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="00862B8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工程力学</w:t>
      </w:r>
      <w:r w:rsidR="004D0FCC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专业</w:t>
      </w:r>
      <w:r w:rsidR="00862B8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与城市地下空间工程</w:t>
      </w:r>
      <w:r w:rsidR="004D0FCC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专业</w:t>
      </w:r>
      <w:r w:rsidR="00862B8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的核心基础课程</w:t>
      </w:r>
      <w:r w:rsidR="00862B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  <w:r w:rsidR="000972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画法几何、工程制图、</w:t>
      </w:r>
      <w:r w:rsidR="004D0F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理论力学、材料力学、结构力学</w:t>
      </w:r>
    </w:p>
    <w:p w:rsidR="004D0FCC" w:rsidRDefault="002462FC" w:rsidP="00862B8B">
      <w:pPr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begin"/>
      </w:r>
      <w:r w:rsidR="004D0F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instrText>= 2 \* GB3</w:instrTex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separate"/>
      </w:r>
      <w:r w:rsidR="004D0FCC">
        <w:rPr>
          <w:rFonts w:ascii="仿宋_GB2312" w:eastAsia="仿宋_GB2312" w:hAnsi="微软雅黑" w:cs="宋体" w:hint="eastAsia"/>
          <w:noProof/>
          <w:color w:val="000000"/>
          <w:kern w:val="0"/>
          <w:sz w:val="32"/>
          <w:szCs w:val="32"/>
        </w:rPr>
        <w:t>②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end"/>
      </w:r>
      <w:r w:rsidR="004D0FCC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工程管理专业的核心基础课程</w:t>
      </w:r>
      <w:r w:rsidR="004D0F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  <w:r w:rsidR="004D0FCC" w:rsidRPr="004D0F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画法几何、工程制图、</w:t>
      </w:r>
      <w:r w:rsidR="004D0F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工程力学</w:t>
      </w:r>
      <w:r w:rsidR="004D0FCC" w:rsidRPr="004D0F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、结构力学</w:t>
      </w:r>
    </w:p>
    <w:p w:rsidR="004D0FCC" w:rsidRDefault="002462FC" w:rsidP="00DE7732">
      <w:pPr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begin"/>
      </w:r>
      <w:r w:rsidR="004D0F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instrText>= 3 \* GB3</w:instrTex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separate"/>
      </w:r>
      <w:r w:rsidR="004D0FCC">
        <w:rPr>
          <w:rFonts w:ascii="仿宋_GB2312" w:eastAsia="仿宋_GB2312" w:hAnsi="微软雅黑" w:cs="宋体" w:hint="eastAsia"/>
          <w:noProof/>
          <w:color w:val="000000"/>
          <w:kern w:val="0"/>
          <w:sz w:val="32"/>
          <w:szCs w:val="32"/>
        </w:rPr>
        <w:t>③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end"/>
      </w:r>
      <w:r w:rsidR="004D0FCC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测绘工程专业的核心基础课程</w:t>
      </w:r>
      <w:r w:rsidR="004D0F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：建筑制图、工程力学、</w:t>
      </w:r>
      <w:r w:rsidR="004D0FCC" w:rsidRPr="004D0F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数字地形测量学</w:t>
      </w:r>
    </w:p>
    <w:p w:rsidR="000103EC" w:rsidRDefault="00DE69B2" w:rsidP="00DE7732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（3）</w:t>
      </w:r>
      <w:r w:rsidR="000103E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转入学生的申请必须得到学院批准且在专业转入人数的限额之内</w:t>
      </w:r>
      <w:r w:rsidR="000103EC" w:rsidRPr="00ED29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Pr="00ED29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转入人数原则上不超过学院该专业当年招生人数的10%</w:t>
      </w:r>
      <w:r w:rsidR="00BD23A8" w:rsidRPr="00ED29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FC278C" w:rsidRPr="00ED29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如满足条件的转专业人数超过限额，按照学生《高等数学》正考成绩在所在班级的排名从优录取</w:t>
      </w:r>
      <w:r w:rsidR="000103EC" w:rsidRPr="00ED29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="00BD23A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970DD2" w:rsidRPr="005064F7" w:rsidRDefault="00B01BA9" w:rsidP="007C04B1">
      <w:pPr>
        <w:spacing w:beforeLines="50" w:afterLines="50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四</w:t>
      </w:r>
      <w:r w:rsidR="00970DD2" w:rsidRPr="005064F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、</w:t>
      </w:r>
      <w:r w:rsidR="00970DD2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允许转出</w:t>
      </w:r>
      <w:r w:rsidR="00970DD2" w:rsidRPr="005064F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学院各专业学生的具体条件</w:t>
      </w:r>
    </w:p>
    <w:p w:rsidR="00970DD2" w:rsidRDefault="00A7263A" w:rsidP="00DE7732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转出</w:t>
      </w:r>
      <w:r w:rsidRPr="00A7263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土木工程学院各专业（土木工程、工程力学、测绘工程、工程管理、城市地下空间工程）的学生除满足转专业</w:t>
      </w:r>
      <w:r w:rsidR="004333F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学生</w:t>
      </w:r>
      <w:r w:rsidRPr="00A7263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的基本条件外，还必须同时满足下列条件：</w:t>
      </w:r>
    </w:p>
    <w:p w:rsidR="00A7263A" w:rsidRDefault="002462FC" w:rsidP="00DE7732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begin"/>
      </w:r>
      <w:r w:rsidR="00A7263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instrText>= 1 \* GB3</w:instrTex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separate"/>
      </w:r>
      <w:r w:rsidR="00A7263A">
        <w:rPr>
          <w:rFonts w:ascii="仿宋_GB2312" w:eastAsia="仿宋_GB2312" w:hAnsi="微软雅黑" w:cs="宋体" w:hint="eastAsia"/>
          <w:noProof/>
          <w:color w:val="000000"/>
          <w:kern w:val="0"/>
          <w:sz w:val="32"/>
          <w:szCs w:val="32"/>
        </w:rPr>
        <w:t>①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end"/>
      </w:r>
      <w:r w:rsidR="00D73F8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转出学生的申请必须得到学院批准且</w:t>
      </w:r>
      <w:r w:rsidR="00A7263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专业转出</w:t>
      </w:r>
      <w:r w:rsidR="00A7263A" w:rsidRPr="00A7263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人数原则上不超过学院该专业当年招生人数的10%</w:t>
      </w:r>
      <w:r w:rsidR="00A7263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</w:t>
      </w:r>
    </w:p>
    <w:p w:rsidR="00A7263A" w:rsidRDefault="002462FC" w:rsidP="00DE7732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begin"/>
      </w:r>
      <w:r w:rsidR="00A7263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instrText>= 2 \* GB3</w:instrTex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separate"/>
      </w:r>
      <w:r w:rsidR="00A7263A">
        <w:rPr>
          <w:rFonts w:ascii="仿宋_GB2312" w:eastAsia="仿宋_GB2312" w:hAnsi="微软雅黑" w:cs="宋体" w:hint="eastAsia"/>
          <w:noProof/>
          <w:color w:val="000000"/>
          <w:kern w:val="0"/>
          <w:sz w:val="32"/>
          <w:szCs w:val="32"/>
        </w:rPr>
        <w:t>②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fldChar w:fldCharType="end"/>
      </w:r>
      <w:r w:rsidR="00A7263A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满足转入学院的要求</w:t>
      </w:r>
      <w:r w:rsidR="00A7263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9B5EB5" w:rsidRDefault="00B01BA9" w:rsidP="007C04B1">
      <w:pPr>
        <w:spacing w:beforeLines="50" w:afterLines="50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五</w:t>
      </w:r>
      <w:r w:rsidR="00AB3F2B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、</w:t>
      </w:r>
      <w:r w:rsidR="00AB3F2B" w:rsidRPr="00AB3F2B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学生申请转专业的程序及日程安排</w:t>
      </w:r>
    </w:p>
    <w:p w:rsidR="00CE559A" w:rsidRDefault="00AB3F2B" w:rsidP="00015693">
      <w:pPr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B3F2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严格按照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当年学校转专业的程序及日程安排进行。</w:t>
      </w:r>
    </w:p>
    <w:p w:rsidR="0078572E" w:rsidRDefault="0078572E" w:rsidP="00015693">
      <w:pPr>
        <w:ind w:firstLine="645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 w:rsidRPr="0078572E"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t>六</w:t>
      </w:r>
      <w:r w:rsidRPr="0078572E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、允许转出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与转入</w:t>
      </w:r>
      <w:r w:rsidRPr="0078572E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学生的名额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、</w:t>
      </w:r>
      <w:r w:rsidRPr="0078572E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条件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与</w:t>
      </w:r>
      <w:r w:rsidRPr="0078572E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考核形式</w:t>
      </w:r>
    </w:p>
    <w:p w:rsidR="005505F8" w:rsidRDefault="005505F8" w:rsidP="005505F8">
      <w:pPr>
        <w:ind w:firstLineChars="147" w:firstLine="47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5505F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（1）转出与转入学生的名额：按</w:t>
      </w:r>
      <w:r w:rsidRPr="00ED29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转入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、转出</w:t>
      </w:r>
      <w:r w:rsidRPr="00ED29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人数原则上</w:t>
      </w:r>
      <w:r w:rsidRPr="00ED29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不超过学院该专业当年招生人数的10%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的要求，2019年秋季</w:t>
      </w:r>
      <w:r w:rsidRPr="005505F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土木工程学院在籍本科生转专业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名额应扣除2019年春季已</w:t>
      </w:r>
      <w:r w:rsidR="001B23E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转专业学生数。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（2019年春</w:t>
      </w:r>
      <w:r w:rsidR="001B23E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2018级各专业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转入、转出</w:t>
      </w:r>
      <w:r w:rsidR="001B23E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见附表）</w:t>
      </w:r>
    </w:p>
    <w:p w:rsidR="005860A9" w:rsidRPr="0078572E" w:rsidRDefault="005505F8" w:rsidP="007C04B1">
      <w:pPr>
        <w:spacing w:beforeLines="50" w:afterLines="50"/>
        <w:ind w:firstLineChars="150"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（2）</w:t>
      </w:r>
      <w:r w:rsidR="0078572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</w:t>
      </w:r>
      <w:r w:rsidR="00CD57B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9年</w:t>
      </w:r>
      <w:r w:rsidR="00813E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秋</w:t>
      </w:r>
      <w:r w:rsidR="0078572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学院</w:t>
      </w:r>
      <w:r w:rsidR="00CE55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允许转出与转入学生的</w:t>
      </w:r>
      <w:r w:rsidR="0078572E" w:rsidRPr="0078572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条件与考核形式</w:t>
      </w:r>
      <w:r w:rsidR="0078572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如下表所示：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2268"/>
        <w:gridCol w:w="1287"/>
        <w:gridCol w:w="2257"/>
        <w:gridCol w:w="1984"/>
      </w:tblGrid>
      <w:tr w:rsidR="00E76FD5" w:rsidTr="00E76FD5">
        <w:trPr>
          <w:trHeight w:val="347"/>
          <w:jc w:val="center"/>
        </w:trPr>
        <w:tc>
          <w:tcPr>
            <w:tcW w:w="704" w:type="dxa"/>
            <w:vAlign w:val="center"/>
          </w:tcPr>
          <w:p w:rsidR="00E76FD5" w:rsidRPr="0078572E" w:rsidRDefault="00E76FD5" w:rsidP="00015693">
            <w:pPr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78572E"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268" w:type="dxa"/>
            <w:vAlign w:val="center"/>
          </w:tcPr>
          <w:p w:rsidR="00E76FD5" w:rsidRPr="0078572E" w:rsidRDefault="00E76FD5" w:rsidP="0078572E">
            <w:pPr>
              <w:ind w:left="105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78572E"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5D1D2D">
            <w:pPr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257" w:type="dxa"/>
            <w:vAlign w:val="center"/>
          </w:tcPr>
          <w:p w:rsidR="00E76FD5" w:rsidRPr="0078572E" w:rsidRDefault="00E76FD5" w:rsidP="0078572E">
            <w:pPr>
              <w:ind w:left="105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78572E"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1984" w:type="dxa"/>
            <w:vAlign w:val="center"/>
          </w:tcPr>
          <w:p w:rsidR="00E76FD5" w:rsidRPr="0078572E" w:rsidRDefault="00E76FD5" w:rsidP="0078572E">
            <w:pPr>
              <w:ind w:left="105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78572E"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  <w:szCs w:val="24"/>
              </w:rPr>
              <w:t>考核方式</w:t>
            </w:r>
          </w:p>
        </w:tc>
      </w:tr>
      <w:tr w:rsidR="00E76FD5" w:rsidTr="00813EBD">
        <w:trPr>
          <w:trHeight w:val="731"/>
          <w:jc w:val="center"/>
        </w:trPr>
        <w:tc>
          <w:tcPr>
            <w:tcW w:w="704" w:type="dxa"/>
            <w:vMerge w:val="restart"/>
            <w:vAlign w:val="center"/>
          </w:tcPr>
          <w:p w:rsidR="00813EBD" w:rsidRDefault="00813EBD" w:rsidP="00813EBD">
            <w:pPr>
              <w:ind w:left="105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转</w:t>
            </w:r>
          </w:p>
          <w:p w:rsidR="00813EBD" w:rsidRDefault="00813EBD" w:rsidP="00813EBD">
            <w:pPr>
              <w:ind w:left="105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  <w:p w:rsidR="00813EBD" w:rsidRDefault="00813EBD" w:rsidP="00813EBD">
            <w:pPr>
              <w:ind w:left="105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  <w:p w:rsidR="00E76FD5" w:rsidRDefault="00813EBD" w:rsidP="00813EBD">
            <w:pPr>
              <w:ind w:left="105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入</w:t>
            </w:r>
          </w:p>
        </w:tc>
        <w:tc>
          <w:tcPr>
            <w:tcW w:w="2268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57" w:type="dxa"/>
          </w:tcPr>
          <w:p w:rsidR="00E76FD5" w:rsidRPr="0078572E" w:rsidRDefault="00E76FD5" w:rsidP="00DE7732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符合本方案中第一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三条所述条件</w:t>
            </w:r>
          </w:p>
        </w:tc>
        <w:tc>
          <w:tcPr>
            <w:tcW w:w="1984" w:type="dxa"/>
          </w:tcPr>
          <w:p w:rsidR="00E76FD5" w:rsidRPr="005D1D2D" w:rsidRDefault="00E76FD5" w:rsidP="00DE7732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课程替代并经学院认可批准</w:t>
            </w:r>
          </w:p>
        </w:tc>
      </w:tr>
      <w:tr w:rsidR="00E76FD5" w:rsidTr="00E76FD5">
        <w:trPr>
          <w:trHeight w:val="731"/>
          <w:jc w:val="center"/>
        </w:trPr>
        <w:tc>
          <w:tcPr>
            <w:tcW w:w="704" w:type="dxa"/>
            <w:vMerge/>
          </w:tcPr>
          <w:p w:rsidR="00E76FD5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57" w:type="dxa"/>
          </w:tcPr>
          <w:p w:rsidR="00E76FD5" w:rsidRDefault="00E76FD5" w:rsidP="00DE7732"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符合本方案中第一</w:t>
            </w:r>
            <w:r w:rsidRPr="00BB629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二</w:t>
            </w:r>
            <w:r w:rsidRPr="00BB629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三条所述条件</w:t>
            </w:r>
          </w:p>
        </w:tc>
        <w:tc>
          <w:tcPr>
            <w:tcW w:w="1984" w:type="dxa"/>
          </w:tcPr>
          <w:p w:rsidR="00E76FD5" w:rsidRDefault="00E76FD5" w:rsidP="00DE7732">
            <w:r w:rsidRPr="00AB4CBB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课程替代并经学院认可批准</w:t>
            </w:r>
          </w:p>
        </w:tc>
      </w:tr>
      <w:tr w:rsidR="00E76FD5" w:rsidTr="00E76FD5">
        <w:trPr>
          <w:trHeight w:val="731"/>
          <w:jc w:val="center"/>
        </w:trPr>
        <w:tc>
          <w:tcPr>
            <w:tcW w:w="704" w:type="dxa"/>
            <w:vMerge/>
          </w:tcPr>
          <w:p w:rsidR="00E76FD5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57" w:type="dxa"/>
          </w:tcPr>
          <w:p w:rsidR="00E76FD5" w:rsidRDefault="00E76FD5" w:rsidP="00DE7732"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符合本方案中第一</w:t>
            </w:r>
            <w:r w:rsidRPr="00BB629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二</w:t>
            </w:r>
            <w:r w:rsidRPr="00BB629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三条所述条件</w:t>
            </w:r>
          </w:p>
        </w:tc>
        <w:tc>
          <w:tcPr>
            <w:tcW w:w="1984" w:type="dxa"/>
          </w:tcPr>
          <w:p w:rsidR="00E76FD5" w:rsidRDefault="00E76FD5" w:rsidP="00DE7732">
            <w:r w:rsidRPr="00AB4CBB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课程替代并经学院认可批准</w:t>
            </w:r>
          </w:p>
        </w:tc>
      </w:tr>
      <w:tr w:rsidR="00E76FD5" w:rsidTr="00E76FD5">
        <w:trPr>
          <w:trHeight w:val="731"/>
          <w:jc w:val="center"/>
        </w:trPr>
        <w:tc>
          <w:tcPr>
            <w:tcW w:w="704" w:type="dxa"/>
            <w:vMerge/>
          </w:tcPr>
          <w:p w:rsidR="00E76FD5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57" w:type="dxa"/>
          </w:tcPr>
          <w:p w:rsidR="00E76FD5" w:rsidRDefault="00E76FD5" w:rsidP="00DE7732"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符合本方案中第一</w:t>
            </w:r>
            <w:r w:rsidRPr="00BB629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二</w:t>
            </w:r>
            <w:r w:rsidRPr="00BB629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三条所述条件</w:t>
            </w:r>
          </w:p>
        </w:tc>
        <w:tc>
          <w:tcPr>
            <w:tcW w:w="1984" w:type="dxa"/>
          </w:tcPr>
          <w:p w:rsidR="00E76FD5" w:rsidRDefault="00E76FD5" w:rsidP="00DE7732">
            <w:r w:rsidRPr="00AB4CBB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课程替代并经学院认可批准</w:t>
            </w:r>
          </w:p>
        </w:tc>
      </w:tr>
      <w:tr w:rsidR="00E76FD5" w:rsidTr="00E76FD5">
        <w:trPr>
          <w:trHeight w:val="731"/>
          <w:jc w:val="center"/>
        </w:trPr>
        <w:tc>
          <w:tcPr>
            <w:tcW w:w="704" w:type="dxa"/>
            <w:vMerge/>
          </w:tcPr>
          <w:p w:rsidR="00E76FD5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城市地下空间工程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DE773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57" w:type="dxa"/>
          </w:tcPr>
          <w:p w:rsidR="00E76FD5" w:rsidRDefault="00E76FD5" w:rsidP="00DE7732"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符合本方案中第一</w:t>
            </w:r>
            <w:r w:rsidRPr="00BB629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二</w:t>
            </w:r>
            <w:r w:rsidRPr="00BB629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B629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三条所述条件</w:t>
            </w:r>
          </w:p>
        </w:tc>
        <w:tc>
          <w:tcPr>
            <w:tcW w:w="1984" w:type="dxa"/>
          </w:tcPr>
          <w:p w:rsidR="00E76FD5" w:rsidRDefault="00E76FD5" w:rsidP="00DE7732">
            <w:r w:rsidRPr="00AB4CBB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课程替代并经学院认可批准</w:t>
            </w:r>
          </w:p>
        </w:tc>
      </w:tr>
      <w:tr w:rsidR="00E76FD5" w:rsidTr="00E76FD5">
        <w:trPr>
          <w:trHeight w:val="634"/>
          <w:jc w:val="center"/>
        </w:trPr>
        <w:tc>
          <w:tcPr>
            <w:tcW w:w="704" w:type="dxa"/>
            <w:vMerge w:val="restart"/>
          </w:tcPr>
          <w:p w:rsidR="00E76FD5" w:rsidRDefault="00E76FD5" w:rsidP="00DE7732">
            <w:pPr>
              <w:ind w:left="105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  <w:p w:rsidR="00E76FD5" w:rsidRDefault="00E76FD5" w:rsidP="00DE7732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  <w:p w:rsidR="00E76FD5" w:rsidRDefault="00E76FD5" w:rsidP="00DE7732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  <w:p w:rsidR="00E76FD5" w:rsidRDefault="00E76FD5" w:rsidP="00DE7732">
            <w:pPr>
              <w:ind w:left="105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转</w:t>
            </w:r>
          </w:p>
          <w:p w:rsidR="00E76FD5" w:rsidRDefault="00E76FD5" w:rsidP="00DE7732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  <w:p w:rsidR="00E76FD5" w:rsidRDefault="00E76FD5" w:rsidP="00DE7732">
            <w:pPr>
              <w:ind w:left="105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  <w:p w:rsidR="00E76FD5" w:rsidRDefault="00E76FD5" w:rsidP="00DE7732">
            <w:pPr>
              <w:ind w:left="105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出</w:t>
            </w:r>
          </w:p>
        </w:tc>
        <w:tc>
          <w:tcPr>
            <w:tcW w:w="2268" w:type="dxa"/>
            <w:vAlign w:val="center"/>
          </w:tcPr>
          <w:p w:rsidR="00E76FD5" w:rsidRPr="0078572E" w:rsidRDefault="00E76FD5" w:rsidP="00015693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CD57B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57" w:type="dxa"/>
          </w:tcPr>
          <w:p w:rsidR="00E76FD5" w:rsidRPr="0078572E" w:rsidRDefault="00E76FD5" w:rsidP="00CE559A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符合本方案中第一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、四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条所述条件</w:t>
            </w:r>
          </w:p>
        </w:tc>
        <w:tc>
          <w:tcPr>
            <w:tcW w:w="1984" w:type="dxa"/>
          </w:tcPr>
          <w:p w:rsidR="00E76FD5" w:rsidRPr="0078572E" w:rsidRDefault="00E76FD5" w:rsidP="00015693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经学院批准并符合转入学院要求</w:t>
            </w:r>
          </w:p>
        </w:tc>
      </w:tr>
      <w:tr w:rsidR="00E76FD5" w:rsidTr="00E76FD5">
        <w:trPr>
          <w:trHeight w:val="634"/>
          <w:jc w:val="center"/>
        </w:trPr>
        <w:tc>
          <w:tcPr>
            <w:tcW w:w="704" w:type="dxa"/>
            <w:vMerge/>
          </w:tcPr>
          <w:p w:rsidR="00E76FD5" w:rsidRDefault="00E76FD5" w:rsidP="00015693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6FD5" w:rsidRPr="0078572E" w:rsidRDefault="00E76FD5" w:rsidP="00015693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CD57B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57" w:type="dxa"/>
          </w:tcPr>
          <w:p w:rsidR="00E76FD5" w:rsidRPr="0078572E" w:rsidRDefault="00E76FD5" w:rsidP="00CE559A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符合本方案中</w:t>
            </w:r>
            <w:r w:rsidRPr="00CE559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第一、二、四条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所述条件</w:t>
            </w:r>
          </w:p>
        </w:tc>
        <w:tc>
          <w:tcPr>
            <w:tcW w:w="1984" w:type="dxa"/>
          </w:tcPr>
          <w:p w:rsidR="00E76FD5" w:rsidRPr="0078572E" w:rsidRDefault="00E76FD5" w:rsidP="00015693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经学院批准并符合转入学院要求</w:t>
            </w:r>
          </w:p>
        </w:tc>
      </w:tr>
      <w:tr w:rsidR="00E76FD5" w:rsidTr="00E76FD5">
        <w:trPr>
          <w:trHeight w:val="634"/>
          <w:jc w:val="center"/>
        </w:trPr>
        <w:tc>
          <w:tcPr>
            <w:tcW w:w="704" w:type="dxa"/>
            <w:vMerge/>
          </w:tcPr>
          <w:p w:rsidR="00E76FD5" w:rsidRDefault="00E76FD5" w:rsidP="00015693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6FD5" w:rsidRPr="0078572E" w:rsidRDefault="00E76FD5" w:rsidP="00015693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CD57B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57" w:type="dxa"/>
          </w:tcPr>
          <w:p w:rsidR="00E76FD5" w:rsidRPr="0078572E" w:rsidRDefault="00E76FD5" w:rsidP="00CE559A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E559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符合本方案中第一、二、四条所述条件</w:t>
            </w:r>
          </w:p>
        </w:tc>
        <w:tc>
          <w:tcPr>
            <w:tcW w:w="1984" w:type="dxa"/>
          </w:tcPr>
          <w:p w:rsidR="00E76FD5" w:rsidRPr="0078572E" w:rsidRDefault="00E76FD5" w:rsidP="00015693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经学院批准并符合转入学院要求</w:t>
            </w:r>
          </w:p>
        </w:tc>
      </w:tr>
      <w:tr w:rsidR="00E76FD5" w:rsidTr="00E76FD5">
        <w:trPr>
          <w:trHeight w:val="634"/>
          <w:jc w:val="center"/>
        </w:trPr>
        <w:tc>
          <w:tcPr>
            <w:tcW w:w="704" w:type="dxa"/>
            <w:vMerge/>
          </w:tcPr>
          <w:p w:rsidR="00E76FD5" w:rsidRPr="0078572E" w:rsidRDefault="00E76FD5" w:rsidP="00015693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6FD5" w:rsidRPr="0078572E" w:rsidRDefault="00E76FD5" w:rsidP="00015693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城市地下空间工程</w:t>
            </w:r>
          </w:p>
        </w:tc>
        <w:tc>
          <w:tcPr>
            <w:tcW w:w="1287" w:type="dxa"/>
            <w:vAlign w:val="center"/>
          </w:tcPr>
          <w:p w:rsidR="00E76FD5" w:rsidRPr="0078572E" w:rsidRDefault="00E76FD5" w:rsidP="00CD57B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57" w:type="dxa"/>
          </w:tcPr>
          <w:p w:rsidR="00E76FD5" w:rsidRPr="0078572E" w:rsidRDefault="00E76FD5" w:rsidP="00CE559A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E559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符合本方案中第一、二、四条所述条件</w:t>
            </w:r>
          </w:p>
        </w:tc>
        <w:tc>
          <w:tcPr>
            <w:tcW w:w="1984" w:type="dxa"/>
          </w:tcPr>
          <w:p w:rsidR="00E76FD5" w:rsidRPr="0078572E" w:rsidRDefault="00E76FD5" w:rsidP="00015693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经学院批准并符合转入学院要求</w:t>
            </w:r>
          </w:p>
        </w:tc>
      </w:tr>
      <w:tr w:rsidR="00E76FD5" w:rsidTr="00E76FD5">
        <w:trPr>
          <w:trHeight w:val="634"/>
          <w:jc w:val="center"/>
        </w:trPr>
        <w:tc>
          <w:tcPr>
            <w:tcW w:w="704" w:type="dxa"/>
            <w:vMerge/>
          </w:tcPr>
          <w:p w:rsidR="00E76FD5" w:rsidRPr="0078572E" w:rsidRDefault="00E76FD5" w:rsidP="00CD57B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6FD5" w:rsidRDefault="00E76FD5" w:rsidP="00CD57B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1287" w:type="dxa"/>
            <w:vAlign w:val="center"/>
          </w:tcPr>
          <w:p w:rsidR="00E76FD5" w:rsidRDefault="00E76FD5" w:rsidP="00CD57B2">
            <w:pPr>
              <w:ind w:left="105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2018级</w:t>
            </w:r>
          </w:p>
        </w:tc>
        <w:tc>
          <w:tcPr>
            <w:tcW w:w="2257" w:type="dxa"/>
          </w:tcPr>
          <w:p w:rsidR="00E76FD5" w:rsidRPr="0078572E" w:rsidRDefault="00E76FD5" w:rsidP="00CD57B2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E559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符合本方案中第一、二、四条所述条件</w:t>
            </w:r>
          </w:p>
        </w:tc>
        <w:tc>
          <w:tcPr>
            <w:tcW w:w="1984" w:type="dxa"/>
          </w:tcPr>
          <w:p w:rsidR="00E76FD5" w:rsidRPr="0078572E" w:rsidRDefault="00E76FD5" w:rsidP="00CD57B2">
            <w:pP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经学院批准并符合转入学院要求</w:t>
            </w:r>
          </w:p>
        </w:tc>
      </w:tr>
    </w:tbl>
    <w:p w:rsidR="005505F8" w:rsidRDefault="005505F8" w:rsidP="00F05EEB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5860A9" w:rsidRPr="000C74E2" w:rsidRDefault="00AB3F2B" w:rsidP="000C74E2">
      <w:pPr>
        <w:ind w:firstLineChars="1900" w:firstLine="6104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 w:rsidRPr="000C74E2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土木工程学院</w:t>
      </w:r>
    </w:p>
    <w:p w:rsidR="00AB3F2B" w:rsidRDefault="00AB3F2B" w:rsidP="00AB3F2B">
      <w:pPr>
        <w:ind w:firstLine="645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 w:rsidRPr="000C74E2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 xml:space="preserve">    </w:t>
      </w:r>
      <w:r w:rsidR="005860A9" w:rsidRPr="000C74E2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 xml:space="preserve">                               </w:t>
      </w:r>
      <w:r w:rsidRPr="000C74E2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201</w:t>
      </w:r>
      <w:r w:rsidR="00813EBD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9</w:t>
      </w:r>
      <w:r w:rsidRPr="000C74E2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年</w:t>
      </w:r>
      <w:r w:rsidR="00813EBD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5</w:t>
      </w:r>
      <w:r w:rsidRPr="000C74E2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月</w:t>
      </w:r>
    </w:p>
    <w:p w:rsidR="005505F8" w:rsidRDefault="005505F8" w:rsidP="00AB3F2B">
      <w:pPr>
        <w:ind w:firstLine="645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:rsidR="005505F8" w:rsidRDefault="005505F8" w:rsidP="00AB3F2B">
      <w:pPr>
        <w:ind w:firstLine="645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:rsidR="005505F8" w:rsidRDefault="005505F8" w:rsidP="00AB3F2B">
      <w:pPr>
        <w:ind w:firstLine="645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:rsidR="00755D45" w:rsidRDefault="00755D45" w:rsidP="00AB3F2B">
      <w:pPr>
        <w:ind w:firstLine="645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:rsidR="005505F8" w:rsidRDefault="005505F8" w:rsidP="005505F8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附表：</w:t>
      </w:r>
    </w:p>
    <w:p w:rsidR="001B23E5" w:rsidRDefault="001B23E5" w:rsidP="005505F8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 w:rsidRPr="001B23E5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2019年春土木工程学院各专业转出和转入学生人数汇总表</w:t>
      </w:r>
    </w:p>
    <w:tbl>
      <w:tblPr>
        <w:tblW w:w="7935" w:type="dxa"/>
        <w:jc w:val="center"/>
        <w:tblLook w:val="04A0"/>
      </w:tblPr>
      <w:tblGrid>
        <w:gridCol w:w="2715"/>
        <w:gridCol w:w="2520"/>
        <w:gridCol w:w="2700"/>
      </w:tblGrid>
      <w:tr w:rsidR="001B23E5" w:rsidRPr="001B23E5" w:rsidTr="001B23E5">
        <w:trPr>
          <w:trHeight w:val="270"/>
          <w:jc w:val="center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  <w:r w:rsidRPr="001B23E5"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专业名称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  <w:r w:rsidRPr="001B23E5"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转出学生数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  <w:r w:rsidRPr="001B23E5"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转入学生数</w:t>
            </w:r>
          </w:p>
        </w:tc>
      </w:tr>
      <w:tr w:rsidR="001B23E5" w:rsidRPr="001B23E5" w:rsidTr="001B23E5">
        <w:trPr>
          <w:trHeight w:val="300"/>
          <w:jc w:val="center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5" w:rsidRPr="001B23E5" w:rsidRDefault="001B23E5" w:rsidP="001B23E5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1B23E5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18</w:t>
            </w:r>
            <w:r w:rsidRPr="001B23E5">
              <w:rPr>
                <w:rFonts w:ascii="楷体_GB2312" w:eastAsia="楷体_GB2312" w:hAnsi="Times New Roman" w:cs="Times New Roman" w:hint="eastAsia"/>
                <w:b/>
                <w:kern w:val="0"/>
                <w:sz w:val="22"/>
              </w:rPr>
              <w:t>级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1B23E5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18</w:t>
            </w:r>
            <w:r w:rsidRPr="001B23E5">
              <w:rPr>
                <w:rFonts w:ascii="楷体_GB2312" w:eastAsia="楷体_GB2312" w:hAnsi="Times New Roman" w:cs="Times New Roman" w:hint="eastAsia"/>
                <w:b/>
                <w:kern w:val="0"/>
                <w:sz w:val="22"/>
              </w:rPr>
              <w:t>级</w:t>
            </w:r>
          </w:p>
        </w:tc>
      </w:tr>
      <w:tr w:rsidR="001B23E5" w:rsidRPr="001B23E5" w:rsidTr="001B23E5">
        <w:trPr>
          <w:trHeight w:val="28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B23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B23E5" w:rsidRPr="001B23E5" w:rsidTr="001B23E5">
        <w:trPr>
          <w:trHeight w:val="28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B23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B23E5" w:rsidRPr="001B23E5" w:rsidTr="001B23E5">
        <w:trPr>
          <w:trHeight w:val="28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B23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B23E5" w:rsidRPr="001B23E5" w:rsidTr="001B23E5">
        <w:trPr>
          <w:trHeight w:val="28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B23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B23E5" w:rsidRPr="001B23E5" w:rsidTr="001B23E5">
        <w:trPr>
          <w:trHeight w:val="28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B23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城市地下空间工程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B23E5" w:rsidRPr="001B23E5" w:rsidTr="001B23E5">
        <w:trPr>
          <w:trHeight w:val="27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   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5" w:rsidRPr="001B23E5" w:rsidRDefault="001B23E5" w:rsidP="001B2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</w:tbl>
    <w:p w:rsidR="001B23E5" w:rsidRPr="000C74E2" w:rsidRDefault="001B23E5" w:rsidP="005505F8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sectPr w:rsidR="001B23E5" w:rsidRPr="000C74E2" w:rsidSect="00586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76" w:rsidRDefault="00237B76" w:rsidP="003B54C3">
      <w:r>
        <w:separator/>
      </w:r>
    </w:p>
  </w:endnote>
  <w:endnote w:type="continuationSeparator" w:id="1">
    <w:p w:rsidR="00237B76" w:rsidRDefault="00237B76" w:rsidP="003B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1" w:rsidRDefault="007C04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1" w:rsidRDefault="007C04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1" w:rsidRDefault="007C04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76" w:rsidRDefault="00237B76" w:rsidP="003B54C3">
      <w:r>
        <w:separator/>
      </w:r>
    </w:p>
  </w:footnote>
  <w:footnote w:type="continuationSeparator" w:id="1">
    <w:p w:rsidR="00237B76" w:rsidRDefault="00237B76" w:rsidP="003B5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1" w:rsidRDefault="007C04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A4" w:rsidRDefault="00C255A4" w:rsidP="007C04B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1" w:rsidRDefault="007C04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7A9"/>
    <w:multiLevelType w:val="hybridMultilevel"/>
    <w:tmpl w:val="83886934"/>
    <w:lvl w:ilvl="0" w:tplc="D3BA345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0B42805"/>
    <w:multiLevelType w:val="hybridMultilevel"/>
    <w:tmpl w:val="B7FA7D52"/>
    <w:lvl w:ilvl="0" w:tplc="8246587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05CEF"/>
    <w:multiLevelType w:val="hybridMultilevel"/>
    <w:tmpl w:val="6C3E1CAC"/>
    <w:lvl w:ilvl="0" w:tplc="9FFC10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1B3"/>
    <w:rsid w:val="000103EC"/>
    <w:rsid w:val="00015693"/>
    <w:rsid w:val="00057C04"/>
    <w:rsid w:val="000634A2"/>
    <w:rsid w:val="000972BD"/>
    <w:rsid w:val="000C74E2"/>
    <w:rsid w:val="001001B3"/>
    <w:rsid w:val="001213A9"/>
    <w:rsid w:val="001B0EA9"/>
    <w:rsid w:val="001B23E5"/>
    <w:rsid w:val="00237B76"/>
    <w:rsid w:val="002462FC"/>
    <w:rsid w:val="0025231D"/>
    <w:rsid w:val="00257F0F"/>
    <w:rsid w:val="00294505"/>
    <w:rsid w:val="002961F5"/>
    <w:rsid w:val="002F6205"/>
    <w:rsid w:val="0031204C"/>
    <w:rsid w:val="0033097E"/>
    <w:rsid w:val="003468FA"/>
    <w:rsid w:val="0039145A"/>
    <w:rsid w:val="00397FB3"/>
    <w:rsid w:val="003B0B07"/>
    <w:rsid w:val="003B54C3"/>
    <w:rsid w:val="00432323"/>
    <w:rsid w:val="004333FC"/>
    <w:rsid w:val="004D0FCC"/>
    <w:rsid w:val="005064F7"/>
    <w:rsid w:val="005177C5"/>
    <w:rsid w:val="005505F8"/>
    <w:rsid w:val="0056003C"/>
    <w:rsid w:val="005860A9"/>
    <w:rsid w:val="005D1D2D"/>
    <w:rsid w:val="00616E20"/>
    <w:rsid w:val="00631195"/>
    <w:rsid w:val="00644D6C"/>
    <w:rsid w:val="00663D21"/>
    <w:rsid w:val="00696970"/>
    <w:rsid w:val="006C65B6"/>
    <w:rsid w:val="0075569F"/>
    <w:rsid w:val="00755D45"/>
    <w:rsid w:val="0078572E"/>
    <w:rsid w:val="007C04B1"/>
    <w:rsid w:val="007E0CFB"/>
    <w:rsid w:val="00813EBD"/>
    <w:rsid w:val="00816916"/>
    <w:rsid w:val="00862B8B"/>
    <w:rsid w:val="008D0775"/>
    <w:rsid w:val="008D786E"/>
    <w:rsid w:val="008F22C2"/>
    <w:rsid w:val="0092074C"/>
    <w:rsid w:val="00933A55"/>
    <w:rsid w:val="00943521"/>
    <w:rsid w:val="00970DD2"/>
    <w:rsid w:val="00971413"/>
    <w:rsid w:val="009734CD"/>
    <w:rsid w:val="0098310D"/>
    <w:rsid w:val="009B434F"/>
    <w:rsid w:val="009B5EB5"/>
    <w:rsid w:val="00A15653"/>
    <w:rsid w:val="00A52143"/>
    <w:rsid w:val="00A7263A"/>
    <w:rsid w:val="00AB3F2B"/>
    <w:rsid w:val="00B01BA9"/>
    <w:rsid w:val="00BD23A8"/>
    <w:rsid w:val="00BF23FF"/>
    <w:rsid w:val="00C07F99"/>
    <w:rsid w:val="00C255A4"/>
    <w:rsid w:val="00C628C7"/>
    <w:rsid w:val="00CD57B2"/>
    <w:rsid w:val="00CE559A"/>
    <w:rsid w:val="00D362CE"/>
    <w:rsid w:val="00D37EEF"/>
    <w:rsid w:val="00D61DA1"/>
    <w:rsid w:val="00D64406"/>
    <w:rsid w:val="00D73F8E"/>
    <w:rsid w:val="00D959B3"/>
    <w:rsid w:val="00D96E30"/>
    <w:rsid w:val="00DD1E02"/>
    <w:rsid w:val="00DE69B2"/>
    <w:rsid w:val="00DE7732"/>
    <w:rsid w:val="00E13BAD"/>
    <w:rsid w:val="00E76FD5"/>
    <w:rsid w:val="00E87657"/>
    <w:rsid w:val="00EC5A64"/>
    <w:rsid w:val="00ED2941"/>
    <w:rsid w:val="00EE0DBC"/>
    <w:rsid w:val="00F05EEB"/>
    <w:rsid w:val="00F41F18"/>
    <w:rsid w:val="00FC278C"/>
    <w:rsid w:val="00FE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4C3"/>
    <w:rPr>
      <w:sz w:val="18"/>
      <w:szCs w:val="18"/>
    </w:rPr>
  </w:style>
  <w:style w:type="paragraph" w:styleId="a5">
    <w:name w:val="List Paragraph"/>
    <w:basedOn w:val="a"/>
    <w:uiPriority w:val="34"/>
    <w:qFormat/>
    <w:rsid w:val="00D96E3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B43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34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505F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50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341</Words>
  <Characters>1947</Characters>
  <Application>Microsoft Office Word</Application>
  <DocSecurity>0</DocSecurity>
  <Lines>16</Lines>
  <Paragraphs>4</Paragraphs>
  <ScaleCrop>false</ScaleCrop>
  <Company>china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江学良</dc:creator>
  <cp:keywords/>
  <dc:description/>
  <cp:lastModifiedBy>刘其梅</cp:lastModifiedBy>
  <cp:revision>9</cp:revision>
  <cp:lastPrinted>2018-06-01T06:23:00Z</cp:lastPrinted>
  <dcterms:created xsi:type="dcterms:W3CDTF">2019-05-20T06:41:00Z</dcterms:created>
  <dcterms:modified xsi:type="dcterms:W3CDTF">2019-05-23T01:44:00Z</dcterms:modified>
</cp:coreProperties>
</file>